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71E" w:rsidRPr="003E305E" w:rsidRDefault="002843EF" w:rsidP="003E305E">
      <w:pPr>
        <w:tabs>
          <w:tab w:val="left" w:pos="0"/>
        </w:tabs>
        <w:jc w:val="center"/>
        <w:rPr>
          <w:rFonts w:asciiTheme="minorHAnsi" w:hAnsiTheme="minorHAnsi" w:cs="Kartika"/>
          <w:b/>
          <w:sz w:val="32"/>
          <w:szCs w:val="32"/>
          <w:lang w:val="es-HN"/>
        </w:rPr>
      </w:pPr>
      <w:r>
        <w:rPr>
          <w:rFonts w:asciiTheme="minorHAnsi" w:hAnsiTheme="minorHAnsi" w:cs="Kartika"/>
          <w:b/>
          <w:sz w:val="32"/>
          <w:szCs w:val="32"/>
          <w:lang w:val="es-HN"/>
        </w:rPr>
        <w:t>TERESA</w:t>
      </w:r>
      <w:r w:rsidR="003E305E" w:rsidRPr="003E305E">
        <w:rPr>
          <w:rFonts w:asciiTheme="minorHAnsi" w:hAnsiTheme="minorHAnsi" w:cs="Kartika"/>
          <w:b/>
          <w:sz w:val="32"/>
          <w:szCs w:val="32"/>
          <w:lang w:val="es-HN"/>
        </w:rPr>
        <w:t xml:space="preserve"> EN EL DÍA DE LA MUJER</w:t>
      </w:r>
    </w:p>
    <w:p w:rsidR="00A8071E" w:rsidRPr="00CE4FDD" w:rsidRDefault="00A8071E" w:rsidP="003E305E">
      <w:pPr>
        <w:pBdr>
          <w:bottom w:val="single" w:sz="4" w:space="1" w:color="auto"/>
        </w:pBdr>
        <w:tabs>
          <w:tab w:val="left" w:pos="0"/>
        </w:tabs>
        <w:jc w:val="both"/>
        <w:rPr>
          <w:rFonts w:asciiTheme="minorHAnsi" w:hAnsiTheme="minorHAnsi" w:cs="Kartika"/>
          <w:b/>
          <w:lang w:val="es-HN"/>
        </w:rPr>
      </w:pPr>
    </w:p>
    <w:p w:rsidR="003E305E" w:rsidRPr="003E305E" w:rsidRDefault="003E305E" w:rsidP="003E305E">
      <w:pPr>
        <w:jc w:val="right"/>
        <w:rPr>
          <w:rFonts w:asciiTheme="minorHAnsi" w:hAnsiTheme="minorHAnsi"/>
          <w:sz w:val="20"/>
          <w:szCs w:val="20"/>
        </w:rPr>
      </w:pPr>
      <w:bookmarkStart w:id="0" w:name="_GoBack"/>
      <w:r w:rsidRPr="003E305E">
        <w:rPr>
          <w:rFonts w:asciiTheme="minorHAnsi" w:hAnsiTheme="minorHAnsi"/>
          <w:sz w:val="20"/>
          <w:szCs w:val="20"/>
        </w:rPr>
        <w:tab/>
      </w:r>
      <w:r w:rsidRPr="003E305E">
        <w:rPr>
          <w:rFonts w:asciiTheme="minorHAnsi" w:hAnsiTheme="minorHAnsi"/>
          <w:sz w:val="20"/>
          <w:szCs w:val="20"/>
        </w:rPr>
        <w:tab/>
      </w:r>
      <w:r w:rsidRPr="003E305E">
        <w:rPr>
          <w:rFonts w:asciiTheme="minorHAnsi" w:hAnsiTheme="minorHAnsi"/>
          <w:sz w:val="20"/>
          <w:szCs w:val="20"/>
        </w:rPr>
        <w:tab/>
      </w:r>
      <w:r w:rsidRPr="003E305E">
        <w:rPr>
          <w:rFonts w:asciiTheme="minorHAnsi" w:hAnsiTheme="minorHAnsi"/>
          <w:sz w:val="20"/>
          <w:szCs w:val="20"/>
        </w:rPr>
        <w:tab/>
      </w:r>
      <w:r w:rsidRPr="003E305E">
        <w:rPr>
          <w:rFonts w:asciiTheme="minorHAnsi" w:hAnsiTheme="minorHAnsi"/>
          <w:sz w:val="20"/>
          <w:szCs w:val="20"/>
        </w:rPr>
        <w:tab/>
      </w:r>
      <w:r w:rsidRPr="003E305E">
        <w:rPr>
          <w:rFonts w:asciiTheme="minorHAnsi" w:hAnsiTheme="minorHAnsi"/>
          <w:sz w:val="20"/>
          <w:szCs w:val="20"/>
        </w:rPr>
        <w:tab/>
      </w:r>
      <w:r w:rsidRPr="003E305E">
        <w:rPr>
          <w:rFonts w:asciiTheme="minorHAnsi" w:hAnsiTheme="minorHAnsi"/>
          <w:sz w:val="20"/>
          <w:szCs w:val="20"/>
        </w:rPr>
        <w:tab/>
      </w:r>
      <w:r w:rsidRPr="003E305E">
        <w:rPr>
          <w:rFonts w:asciiTheme="minorHAnsi" w:hAnsiTheme="minorHAnsi"/>
          <w:sz w:val="20"/>
          <w:szCs w:val="20"/>
        </w:rPr>
        <w:tab/>
        <w:t>Fray Oswaldo Escobar, ocd</w:t>
      </w:r>
    </w:p>
    <w:p w:rsidR="003E305E" w:rsidRDefault="003E305E" w:rsidP="00A8071E">
      <w:pPr>
        <w:jc w:val="both"/>
        <w:rPr>
          <w:rFonts w:asciiTheme="minorHAnsi" w:hAnsiTheme="minorHAnsi"/>
        </w:rPr>
      </w:pPr>
    </w:p>
    <w:p w:rsidR="00A8071E" w:rsidRDefault="00A8071E" w:rsidP="00A8071E">
      <w:pPr>
        <w:jc w:val="both"/>
        <w:rPr>
          <w:rFonts w:asciiTheme="minorHAnsi" w:hAnsiTheme="minorHAnsi"/>
        </w:rPr>
      </w:pPr>
      <w:r w:rsidRPr="007961CA">
        <w:rPr>
          <w:rFonts w:asciiTheme="minorHAnsi" w:hAnsiTheme="minorHAnsi"/>
        </w:rPr>
        <w:t>La valoración peyorativa de la mujer n</w:t>
      </w:r>
      <w:r w:rsidR="003822F4">
        <w:rPr>
          <w:rFonts w:asciiTheme="minorHAnsi" w:hAnsiTheme="minorHAnsi"/>
        </w:rPr>
        <w:t>o era algo propio del siglo XVI. En s</w:t>
      </w:r>
      <w:r w:rsidRPr="007961CA">
        <w:rPr>
          <w:rFonts w:asciiTheme="minorHAnsi" w:hAnsiTheme="minorHAnsi"/>
        </w:rPr>
        <w:t xml:space="preserve">iglos </w:t>
      </w:r>
      <w:r w:rsidR="003822F4">
        <w:rPr>
          <w:rFonts w:asciiTheme="minorHAnsi" w:hAnsiTheme="minorHAnsi"/>
        </w:rPr>
        <w:t>anteriores,</w:t>
      </w:r>
      <w:r w:rsidRPr="007961CA">
        <w:rPr>
          <w:rFonts w:asciiTheme="minorHAnsi" w:hAnsiTheme="minorHAnsi"/>
        </w:rPr>
        <w:t xml:space="preserve"> el ambiente</w:t>
      </w:r>
      <w:r>
        <w:rPr>
          <w:rFonts w:asciiTheme="minorHAnsi" w:hAnsiTheme="minorHAnsi"/>
        </w:rPr>
        <w:t xml:space="preserve"> misógino</w:t>
      </w:r>
      <w:r w:rsidRPr="007961CA">
        <w:rPr>
          <w:rFonts w:asciiTheme="minorHAnsi" w:hAnsiTheme="minorHAnsi"/>
        </w:rPr>
        <w:t xml:space="preserve"> ya se</w:t>
      </w:r>
      <w:r>
        <w:rPr>
          <w:rFonts w:asciiTheme="minorHAnsi" w:hAnsiTheme="minorHAnsi"/>
        </w:rPr>
        <w:t xml:space="preserve"> había fraguado paulatinamente</w:t>
      </w:r>
      <w:r w:rsidR="003822F4">
        <w:rPr>
          <w:rFonts w:asciiTheme="minorHAnsi" w:hAnsiTheme="minorHAnsi"/>
        </w:rPr>
        <w:t>. E</w:t>
      </w:r>
      <w:r w:rsidRPr="007961CA">
        <w:rPr>
          <w:rFonts w:asciiTheme="minorHAnsi" w:hAnsiTheme="minorHAnsi"/>
        </w:rPr>
        <w:t xml:space="preserve">videnciamos </w:t>
      </w:r>
      <w:r>
        <w:rPr>
          <w:rFonts w:asciiTheme="minorHAnsi" w:hAnsiTheme="minorHAnsi"/>
        </w:rPr>
        <w:t xml:space="preserve">abundantes </w:t>
      </w:r>
      <w:r w:rsidRPr="007961CA">
        <w:rPr>
          <w:rFonts w:asciiTheme="minorHAnsi" w:hAnsiTheme="minorHAnsi"/>
        </w:rPr>
        <w:t>do</w:t>
      </w:r>
      <w:r w:rsidR="003822F4">
        <w:rPr>
          <w:rFonts w:asciiTheme="minorHAnsi" w:hAnsiTheme="minorHAnsi"/>
        </w:rPr>
        <w:t>cumentos que así lo manifiestan. A</w:t>
      </w:r>
      <w:r>
        <w:rPr>
          <w:rFonts w:asciiTheme="minorHAnsi" w:hAnsiTheme="minorHAnsi"/>
        </w:rPr>
        <w:t>quí citaré solo uno</w:t>
      </w:r>
      <w:r w:rsidR="003822F4">
        <w:rPr>
          <w:rFonts w:asciiTheme="minorHAnsi" w:hAnsiTheme="minorHAnsi"/>
        </w:rPr>
        <w:t>;</w:t>
      </w:r>
      <w:r>
        <w:rPr>
          <w:rFonts w:asciiTheme="minorHAnsi" w:hAnsiTheme="minorHAnsi"/>
        </w:rPr>
        <w:t xml:space="preserve"> me refiero al</w:t>
      </w:r>
      <w:r w:rsidRPr="007961CA">
        <w:rPr>
          <w:rFonts w:asciiTheme="minorHAnsi" w:hAnsiTheme="minorHAnsi"/>
        </w:rPr>
        <w:t xml:space="preserve"> </w:t>
      </w:r>
      <w:r w:rsidRPr="007961CA">
        <w:rPr>
          <w:rFonts w:asciiTheme="minorHAnsi" w:hAnsiTheme="minorHAnsi"/>
          <w:i/>
          <w:iCs/>
        </w:rPr>
        <w:t xml:space="preserve">El Decreto de Graciano </w:t>
      </w:r>
      <w:r w:rsidRPr="007961CA">
        <w:rPr>
          <w:rFonts w:asciiTheme="minorHAnsi" w:hAnsiTheme="minorHAnsi"/>
        </w:rPr>
        <w:t xml:space="preserve">del 1140, </w:t>
      </w:r>
      <w:r>
        <w:rPr>
          <w:rFonts w:asciiTheme="minorHAnsi" w:hAnsiTheme="minorHAnsi"/>
        </w:rPr>
        <w:t xml:space="preserve">en él </w:t>
      </w:r>
      <w:r w:rsidRPr="007961CA">
        <w:rPr>
          <w:rFonts w:asciiTheme="minorHAnsi" w:hAnsiTheme="minorHAnsi"/>
        </w:rPr>
        <w:t>se lee lo siguiente:</w:t>
      </w:r>
    </w:p>
    <w:p w:rsidR="00A8071E" w:rsidRPr="007961CA" w:rsidRDefault="00A8071E" w:rsidP="00A8071E">
      <w:pPr>
        <w:jc w:val="both"/>
        <w:rPr>
          <w:rFonts w:asciiTheme="minorHAnsi" w:hAnsiTheme="minorHAnsi"/>
        </w:rPr>
      </w:pPr>
    </w:p>
    <w:p w:rsidR="00A8071E" w:rsidRDefault="00A8071E" w:rsidP="00A8071E">
      <w:pPr>
        <w:ind w:left="1418" w:right="849"/>
        <w:jc w:val="both"/>
      </w:pPr>
      <w:r w:rsidRPr="00837B22">
        <w:rPr>
          <w:rFonts w:asciiTheme="minorHAnsi" w:hAnsiTheme="minorHAnsi"/>
          <w:i/>
          <w:iCs/>
          <w:sz w:val="20"/>
          <w:szCs w:val="20"/>
        </w:rPr>
        <w:t>“las mujeres deberán quedar sujetas a los varones. El orden natural para la humanidad es que las mujeres sirvan a los varones y los niños a sus padres, pues es justo que lo inferior sirva a lo superior. La imagen de Dios está en el varón y es única. La autoridad de la mujer es nula; que en toda cuestión se someta al dominio del varón. No puede enseñar, ser testigo, dar garantías, sentarse en un juicio</w:t>
      </w:r>
      <w:r>
        <w:rPr>
          <w:rFonts w:asciiTheme="minorHAnsi" w:hAnsiTheme="minorHAnsi"/>
          <w:i/>
          <w:iCs/>
          <w:sz w:val="20"/>
          <w:szCs w:val="20"/>
        </w:rPr>
        <w:t>.</w:t>
      </w:r>
      <w:r>
        <w:t>”</w:t>
      </w:r>
      <w:r w:rsidRPr="00896BDF">
        <w:rPr>
          <w:rStyle w:val="Refdenotaalpie"/>
          <w:rFonts w:asciiTheme="minorHAnsi" w:hAnsiTheme="minorHAnsi"/>
        </w:rPr>
        <w:footnoteReference w:id="1"/>
      </w:r>
    </w:p>
    <w:p w:rsidR="00A8071E" w:rsidRPr="00AC2CB7" w:rsidRDefault="00A8071E" w:rsidP="00A8071E">
      <w:pPr>
        <w:ind w:left="1418" w:right="849"/>
        <w:jc w:val="both"/>
        <w:rPr>
          <w:rFonts w:asciiTheme="minorHAnsi" w:hAnsiTheme="minorHAnsi"/>
          <w:iCs/>
        </w:rPr>
      </w:pPr>
    </w:p>
    <w:p w:rsidR="00A8071E" w:rsidRDefault="00A8071E" w:rsidP="00A8071E">
      <w:pPr>
        <w:pStyle w:val="Textoindependiente2"/>
        <w:spacing w:line="240" w:lineRule="auto"/>
        <w:jc w:val="both"/>
        <w:rPr>
          <w:rFonts w:asciiTheme="minorHAnsi" w:hAnsiTheme="minorHAnsi"/>
          <w:iCs/>
        </w:rPr>
      </w:pPr>
      <w:r>
        <w:rPr>
          <w:rFonts w:asciiTheme="minorHAnsi" w:hAnsiTheme="minorHAnsi"/>
          <w:iCs/>
        </w:rPr>
        <w:tab/>
        <w:t>En tiempos de Teresa</w:t>
      </w:r>
      <w:r w:rsidR="003822F4">
        <w:rPr>
          <w:rFonts w:asciiTheme="minorHAnsi" w:hAnsiTheme="minorHAnsi"/>
          <w:iCs/>
        </w:rPr>
        <w:t>,</w:t>
      </w:r>
      <w:r>
        <w:rPr>
          <w:rFonts w:asciiTheme="minorHAnsi" w:hAnsiTheme="minorHAnsi"/>
          <w:iCs/>
        </w:rPr>
        <w:t xml:space="preserve"> muchos personajes se proyectarán en la misma línea antifeminista</w:t>
      </w:r>
      <w:r w:rsidR="003822F4">
        <w:rPr>
          <w:rFonts w:asciiTheme="minorHAnsi" w:hAnsiTheme="minorHAnsi"/>
          <w:iCs/>
        </w:rPr>
        <w:t>. D</w:t>
      </w:r>
      <w:r>
        <w:rPr>
          <w:rFonts w:asciiTheme="minorHAnsi" w:hAnsiTheme="minorHAnsi"/>
          <w:iCs/>
        </w:rPr>
        <w:t>e algunos de ellos</w:t>
      </w:r>
      <w:r w:rsidR="003822F4">
        <w:rPr>
          <w:rFonts w:asciiTheme="minorHAnsi" w:hAnsiTheme="minorHAnsi"/>
          <w:iCs/>
        </w:rPr>
        <w:t>,</w:t>
      </w:r>
      <w:r>
        <w:rPr>
          <w:rFonts w:asciiTheme="minorHAnsi" w:hAnsiTheme="minorHAnsi"/>
          <w:iCs/>
        </w:rPr>
        <w:t xml:space="preserve"> nuestra santa llegó incluso a leer sus libros. Autores contemporáneos con esta visión son: </w:t>
      </w:r>
      <w:r w:rsidRPr="00AC2CB7">
        <w:rPr>
          <w:rFonts w:asciiTheme="minorHAnsi" w:hAnsiTheme="minorHAnsi"/>
          <w:iCs/>
        </w:rPr>
        <w:t>Hernando de Talavera, Francisco de Osuna, Tomás Cayetano de Vio (el f</w:t>
      </w:r>
      <w:r>
        <w:rPr>
          <w:rFonts w:asciiTheme="minorHAnsi" w:hAnsiTheme="minorHAnsi"/>
          <w:iCs/>
        </w:rPr>
        <w:t>amoso cardenal Cayetano)</w:t>
      </w:r>
      <w:r>
        <w:rPr>
          <w:rFonts w:asciiTheme="minorHAnsi" w:hAnsiTheme="minorHAnsi"/>
        </w:rPr>
        <w:t>,</w:t>
      </w:r>
      <w:r w:rsidRPr="00AC2CB7">
        <w:rPr>
          <w:rFonts w:asciiTheme="minorHAnsi" w:hAnsiTheme="minorHAnsi"/>
        </w:rPr>
        <w:t xml:space="preserve"> </w:t>
      </w:r>
      <w:r w:rsidRPr="00AC2CB7">
        <w:rPr>
          <w:rFonts w:asciiTheme="minorHAnsi" w:hAnsiTheme="minorHAnsi"/>
          <w:iCs/>
        </w:rPr>
        <w:t xml:space="preserve"> Melchor Cano</w:t>
      </w:r>
      <w:r>
        <w:rPr>
          <w:rFonts w:asciiTheme="minorHAnsi" w:hAnsiTheme="minorHAnsi"/>
          <w:iCs/>
        </w:rPr>
        <w:t xml:space="preserve"> y hasta fray Luis de León con su </w:t>
      </w:r>
      <w:r w:rsidRPr="00AC2CB7">
        <w:rPr>
          <w:rFonts w:asciiTheme="minorHAnsi" w:hAnsiTheme="minorHAnsi"/>
          <w:iCs/>
        </w:rPr>
        <w:t xml:space="preserve"> </w:t>
      </w:r>
      <w:r w:rsidRPr="00AC2CB7">
        <w:rPr>
          <w:rFonts w:asciiTheme="minorHAnsi" w:hAnsiTheme="minorHAnsi"/>
          <w:i/>
        </w:rPr>
        <w:t>“Manual de la perfe</w:t>
      </w:r>
      <w:r>
        <w:rPr>
          <w:rFonts w:asciiTheme="minorHAnsi" w:hAnsiTheme="minorHAnsi"/>
          <w:i/>
        </w:rPr>
        <w:t>cta</w:t>
      </w:r>
      <w:r w:rsidRPr="00AC2CB7">
        <w:rPr>
          <w:rFonts w:asciiTheme="minorHAnsi" w:hAnsiTheme="minorHAnsi"/>
          <w:i/>
        </w:rPr>
        <w:t xml:space="preserve"> casada”</w:t>
      </w:r>
      <w:r w:rsidR="003822F4">
        <w:rPr>
          <w:rFonts w:asciiTheme="minorHAnsi" w:hAnsiTheme="minorHAnsi"/>
          <w:iCs/>
        </w:rPr>
        <w:t>. D</w:t>
      </w:r>
      <w:r>
        <w:rPr>
          <w:rFonts w:asciiTheme="minorHAnsi" w:hAnsiTheme="minorHAnsi"/>
          <w:iCs/>
        </w:rPr>
        <w:t>e igual manera</w:t>
      </w:r>
      <w:r w:rsidR="003822F4">
        <w:rPr>
          <w:rFonts w:asciiTheme="minorHAnsi" w:hAnsiTheme="minorHAnsi"/>
          <w:iCs/>
        </w:rPr>
        <w:t>,</w:t>
      </w:r>
      <w:r>
        <w:rPr>
          <w:rFonts w:asciiTheme="minorHAnsi" w:hAnsiTheme="minorHAnsi"/>
          <w:iCs/>
        </w:rPr>
        <w:t xml:space="preserve"> estará imbuido de este mismo espíritu Domingo Báñez, aunque con Teresa hace una excepción. </w:t>
      </w:r>
    </w:p>
    <w:p w:rsidR="00A8071E" w:rsidRDefault="00A8071E" w:rsidP="00A8071E">
      <w:pPr>
        <w:pStyle w:val="Textoindependiente2"/>
        <w:spacing w:line="240" w:lineRule="auto"/>
        <w:jc w:val="both"/>
        <w:rPr>
          <w:rFonts w:asciiTheme="minorHAnsi" w:hAnsiTheme="minorHAnsi"/>
          <w:iCs/>
        </w:rPr>
      </w:pPr>
      <w:r>
        <w:rPr>
          <w:rFonts w:asciiTheme="minorHAnsi" w:hAnsiTheme="minorHAnsi"/>
          <w:iCs/>
        </w:rPr>
        <w:tab/>
        <w:t xml:space="preserve">Teresa será una profetisa de un sano feminismo, pero a diferencia de algunas corrientes modernas feministas a ultranza, su fundamento será la dimensión espiritual, es decir, cuando ella navega hondamente en las profundidades de su ser es cuando cae en la cuenta </w:t>
      </w:r>
      <w:r w:rsidR="003822F4">
        <w:rPr>
          <w:rFonts w:asciiTheme="minorHAnsi" w:hAnsiTheme="minorHAnsi"/>
          <w:iCs/>
        </w:rPr>
        <w:t xml:space="preserve">de </w:t>
      </w:r>
      <w:r>
        <w:rPr>
          <w:rFonts w:asciiTheme="minorHAnsi" w:hAnsiTheme="minorHAnsi"/>
          <w:iCs/>
        </w:rPr>
        <w:t xml:space="preserve">que el ser humano (hombre y mujer) posee una dignidad inabarcable: </w:t>
      </w:r>
      <w:r>
        <w:rPr>
          <w:rFonts w:asciiTheme="minorHAnsi" w:hAnsiTheme="minorHAnsi"/>
          <w:i/>
          <w:iCs/>
        </w:rPr>
        <w:t>“veo secretos en nosotros mismos que me traen espantada muchas veces; ¡cuántos más debe haber!”</w:t>
      </w:r>
      <w:r>
        <w:rPr>
          <w:rFonts w:asciiTheme="minorHAnsi" w:hAnsiTheme="minorHAnsi"/>
          <w:iCs/>
        </w:rPr>
        <w:t xml:space="preserve"> (4M 2,5), por lo tanto, su feminismo no es que sea solo de carácter espiritual, pero sí encuentra allí su fundamento. </w:t>
      </w:r>
    </w:p>
    <w:p w:rsidR="00A8071E" w:rsidRPr="00BB6136" w:rsidRDefault="00A8071E" w:rsidP="00A8071E">
      <w:pPr>
        <w:pStyle w:val="Textoindependiente2"/>
        <w:spacing w:line="240" w:lineRule="auto"/>
        <w:jc w:val="both"/>
        <w:rPr>
          <w:rFonts w:asciiTheme="minorHAnsi" w:hAnsiTheme="minorHAnsi"/>
          <w:iCs/>
        </w:rPr>
      </w:pPr>
      <w:r>
        <w:rPr>
          <w:rFonts w:asciiTheme="minorHAnsi" w:hAnsiTheme="minorHAnsi"/>
          <w:iCs/>
        </w:rPr>
        <w:tab/>
        <w:t>Nuestra mística hace un irónico eco de las posiciones machista</w:t>
      </w:r>
      <w:r w:rsidR="003822F4">
        <w:rPr>
          <w:rFonts w:asciiTheme="minorHAnsi" w:hAnsiTheme="minorHAnsi"/>
          <w:iCs/>
        </w:rPr>
        <w:t>s</w:t>
      </w:r>
      <w:r>
        <w:rPr>
          <w:rFonts w:asciiTheme="minorHAnsi" w:hAnsiTheme="minorHAnsi"/>
          <w:iCs/>
        </w:rPr>
        <w:t xml:space="preserve"> que mantenían sesgado el acceso a la oración de las mujeres:</w:t>
      </w:r>
      <w:r w:rsidR="003E305E">
        <w:rPr>
          <w:rFonts w:asciiTheme="minorHAnsi" w:hAnsiTheme="minorHAnsi"/>
          <w:i/>
          <w:iCs/>
        </w:rPr>
        <w:t xml:space="preserve"> </w:t>
      </w:r>
      <w:r>
        <w:rPr>
          <w:rFonts w:asciiTheme="minorHAnsi" w:hAnsiTheme="minorHAnsi"/>
          <w:i/>
          <w:iCs/>
        </w:rPr>
        <w:t>”no es para mujeres, que les podrían venir ilusiones”, “mejor será que hilen”, “no han menester esas delicadezas”, “basta el paternóster y avemaría”.”</w:t>
      </w:r>
      <w:r>
        <w:rPr>
          <w:rFonts w:asciiTheme="minorHAnsi" w:hAnsiTheme="minorHAnsi"/>
          <w:iCs/>
        </w:rPr>
        <w:t xml:space="preserve">(CV 21,2). Estos pensadores llegaban a la lamentable conclusión  </w:t>
      </w:r>
      <w:r w:rsidR="003822F4">
        <w:rPr>
          <w:rFonts w:asciiTheme="minorHAnsi" w:hAnsiTheme="minorHAnsi"/>
          <w:iCs/>
        </w:rPr>
        <w:t xml:space="preserve">de </w:t>
      </w:r>
      <w:r>
        <w:rPr>
          <w:rFonts w:asciiTheme="minorHAnsi" w:hAnsiTheme="minorHAnsi"/>
          <w:iCs/>
        </w:rPr>
        <w:t xml:space="preserve">que para las mujeres: </w:t>
      </w:r>
      <w:r>
        <w:rPr>
          <w:rFonts w:asciiTheme="minorHAnsi" w:hAnsiTheme="minorHAnsi"/>
          <w:i/>
          <w:iCs/>
        </w:rPr>
        <w:t xml:space="preserve">“no es vuestro de enseñar”. </w:t>
      </w:r>
      <w:r>
        <w:rPr>
          <w:rFonts w:asciiTheme="minorHAnsi" w:hAnsiTheme="minorHAnsi"/>
          <w:iCs/>
        </w:rPr>
        <w:t>(CV 20,6). Asumiendo críticamente que por la condición femenina  no se pueden hacer mayores cosas en el</w:t>
      </w:r>
      <w:r w:rsidR="003822F4">
        <w:rPr>
          <w:rFonts w:asciiTheme="minorHAnsi" w:hAnsiTheme="minorHAnsi"/>
          <w:iCs/>
        </w:rPr>
        <w:t xml:space="preserve"> servicio de Dios (Cfr. CV 1,2), d</w:t>
      </w:r>
      <w:r>
        <w:rPr>
          <w:rFonts w:asciiTheme="minorHAnsi" w:hAnsiTheme="minorHAnsi"/>
          <w:iCs/>
        </w:rPr>
        <w:t xml:space="preserve">efine su postura audaz: </w:t>
      </w:r>
      <w:r>
        <w:rPr>
          <w:rFonts w:asciiTheme="minorHAnsi" w:hAnsiTheme="minorHAnsi"/>
          <w:i/>
          <w:iCs/>
        </w:rPr>
        <w:t xml:space="preserve">“hemos de ser predicadoras de obras, ya que el Apóstol y nuestra inhabilidad nos quita que lo seamos en las palabras”. </w:t>
      </w:r>
      <w:r>
        <w:rPr>
          <w:rFonts w:asciiTheme="minorHAnsi" w:hAnsiTheme="minorHAnsi"/>
          <w:iCs/>
        </w:rPr>
        <w:t>(CV 15,6).</w:t>
      </w:r>
    </w:p>
    <w:p w:rsidR="00A8071E" w:rsidRDefault="00A8071E" w:rsidP="00A8071E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  <w:t>Teresa piensa que la mujer de su tiempo no era muy escuchada o tomada en cuenta, y sobre todo por la “iglesia” institución</w:t>
      </w:r>
      <w:r w:rsidR="003822F4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a la cual ella tanto amaba. S</w:t>
      </w:r>
      <w:r w:rsidR="003822F4">
        <w:rPr>
          <w:rFonts w:asciiTheme="minorHAnsi" w:hAnsiTheme="minorHAnsi"/>
        </w:rPr>
        <w:t>u crítica goza de realismo veraz</w:t>
      </w:r>
      <w:r>
        <w:rPr>
          <w:rFonts w:asciiTheme="minorHAnsi" w:hAnsiTheme="minorHAnsi"/>
        </w:rPr>
        <w:t>; el siguiente texto es de una valentía sin precedente alguno en la espiritualidad de su tiempo:</w:t>
      </w:r>
    </w:p>
    <w:p w:rsidR="00A8071E" w:rsidRPr="00512444" w:rsidRDefault="00A8071E" w:rsidP="00A8071E">
      <w:pPr>
        <w:jc w:val="both"/>
        <w:rPr>
          <w:rFonts w:asciiTheme="minorHAnsi" w:hAnsiTheme="minorHAnsi"/>
        </w:rPr>
      </w:pPr>
    </w:p>
    <w:p w:rsidR="00A8071E" w:rsidRPr="00FE7209" w:rsidRDefault="00A8071E" w:rsidP="00A8071E">
      <w:pPr>
        <w:pStyle w:val="Textoindependiente2"/>
        <w:spacing w:line="240" w:lineRule="auto"/>
        <w:ind w:left="1418" w:right="849"/>
        <w:jc w:val="both"/>
        <w:rPr>
          <w:rFonts w:asciiTheme="minorHAnsi" w:hAnsiTheme="minorHAnsi"/>
          <w:i/>
          <w:sz w:val="20"/>
          <w:szCs w:val="20"/>
        </w:rPr>
      </w:pPr>
      <w:r w:rsidRPr="00FE7209">
        <w:rPr>
          <w:rFonts w:asciiTheme="minorHAnsi" w:hAnsiTheme="minorHAnsi"/>
          <w:i/>
          <w:sz w:val="20"/>
          <w:szCs w:val="20"/>
        </w:rPr>
        <w:t xml:space="preserve">“¿no basta, Señor, que nos tienen el mundo acorraladas e incapaces para que </w:t>
      </w:r>
      <w:r w:rsidRPr="00FE7209">
        <w:rPr>
          <w:rFonts w:asciiTheme="minorHAnsi" w:hAnsiTheme="minorHAnsi"/>
          <w:bCs/>
          <w:i/>
          <w:sz w:val="20"/>
          <w:szCs w:val="20"/>
        </w:rPr>
        <w:t>no hagamos cosa que valga nada por vos en público ni osemos hablar algunas verdades que lloramos en secreto</w:t>
      </w:r>
      <w:r w:rsidRPr="00FE7209">
        <w:rPr>
          <w:rFonts w:asciiTheme="minorHAnsi" w:hAnsiTheme="minorHAnsi"/>
          <w:i/>
          <w:sz w:val="20"/>
          <w:szCs w:val="20"/>
        </w:rPr>
        <w:t>, sino que no nos habíais de oír petición tan justa? No lo creo yo, Señor, de vuestra bondad y justicia, que sois justo juez, y no como los jueces del mundo, que como son hijos de Adán y, en fin varones, no hay virtud de mujer que no tengan por sospechosa.</w:t>
      </w:r>
    </w:p>
    <w:p w:rsidR="00A8071E" w:rsidRPr="00FE7209" w:rsidRDefault="00A8071E" w:rsidP="00A8071E">
      <w:pPr>
        <w:ind w:left="1418" w:right="849"/>
        <w:jc w:val="both"/>
        <w:rPr>
          <w:rFonts w:asciiTheme="minorHAnsi" w:hAnsiTheme="minorHAnsi"/>
          <w:sz w:val="20"/>
          <w:szCs w:val="20"/>
        </w:rPr>
      </w:pPr>
      <w:r w:rsidRPr="00FE7209">
        <w:rPr>
          <w:rFonts w:asciiTheme="minorHAnsi" w:hAnsiTheme="minorHAnsi"/>
          <w:i/>
          <w:iCs/>
          <w:sz w:val="20"/>
          <w:szCs w:val="20"/>
        </w:rPr>
        <w:t xml:space="preserve">Sí, que algún día ha de haber, Rey mío, que se conozcan todos. No hablo por mí, que ya tiene conocido el mundo mi ruindad, y yo holgado que sea pública, sino porque </w:t>
      </w:r>
      <w:r w:rsidRPr="00FE7209">
        <w:rPr>
          <w:rFonts w:asciiTheme="minorHAnsi" w:hAnsiTheme="minorHAnsi"/>
          <w:bCs/>
          <w:i/>
          <w:iCs/>
          <w:sz w:val="20"/>
          <w:szCs w:val="20"/>
        </w:rPr>
        <w:t>veo los tiempos de manera que no es razón desechar ánimos virtuosos y fuertes, aunque sean de mujeres</w:t>
      </w:r>
      <w:r w:rsidRPr="00FE7209">
        <w:rPr>
          <w:rFonts w:asciiTheme="minorHAnsi" w:hAnsiTheme="minorHAnsi"/>
          <w:i/>
          <w:iCs/>
          <w:sz w:val="20"/>
          <w:szCs w:val="20"/>
        </w:rPr>
        <w:t>”</w:t>
      </w:r>
      <w:r w:rsidRPr="00FE7209">
        <w:rPr>
          <w:rFonts w:asciiTheme="minorHAnsi" w:hAnsiTheme="minorHAnsi"/>
          <w:i/>
          <w:sz w:val="20"/>
          <w:szCs w:val="20"/>
        </w:rPr>
        <w:t xml:space="preserve"> </w:t>
      </w:r>
      <w:r w:rsidRPr="00FE7209">
        <w:rPr>
          <w:rFonts w:asciiTheme="minorHAnsi" w:hAnsiTheme="minorHAnsi"/>
          <w:sz w:val="20"/>
          <w:szCs w:val="20"/>
        </w:rPr>
        <w:t>(CE 4,1)</w:t>
      </w:r>
      <w:r w:rsidRPr="00FE7209">
        <w:rPr>
          <w:rStyle w:val="Refdenotaalpie"/>
          <w:rFonts w:asciiTheme="minorHAnsi" w:hAnsiTheme="minorHAnsi"/>
          <w:sz w:val="20"/>
          <w:szCs w:val="20"/>
        </w:rPr>
        <w:footnoteReference w:id="2"/>
      </w:r>
    </w:p>
    <w:p w:rsidR="00A8071E" w:rsidRPr="00FE7209" w:rsidRDefault="00A8071E" w:rsidP="00A8071E">
      <w:pPr>
        <w:jc w:val="both"/>
      </w:pPr>
    </w:p>
    <w:p w:rsidR="00A8071E" w:rsidRDefault="00A8071E" w:rsidP="00A8071E">
      <w:pPr>
        <w:jc w:val="both"/>
        <w:rPr>
          <w:rFonts w:asciiTheme="minorHAnsi" w:hAnsiTheme="minorHAnsi"/>
        </w:rPr>
      </w:pPr>
      <w:r>
        <w:tab/>
      </w:r>
      <w:r w:rsidRPr="00502682">
        <w:rPr>
          <w:rFonts w:asciiTheme="minorHAnsi" w:hAnsiTheme="minorHAnsi"/>
        </w:rPr>
        <w:t>Entresacamos cosas fundamentales: las mujeres son testigos de  algunas verdades que se lloran en secreto.  Los hombres no les comprenden, pues “no hay virtud de mujer que no tengan por sospechosa</w:t>
      </w:r>
      <w:r>
        <w:rPr>
          <w:rFonts w:asciiTheme="minorHAnsi" w:hAnsiTheme="minorHAnsi"/>
        </w:rPr>
        <w:t>”</w:t>
      </w:r>
      <w:r w:rsidRPr="00502682">
        <w:rPr>
          <w:rFonts w:asciiTheme="minorHAnsi" w:hAnsiTheme="minorHAnsi"/>
        </w:rPr>
        <w:t xml:space="preserve">.  De la misma manera propone el no desvalorizar los “ánimos virtuosos y fuertes, aunque sean de mujeres.” </w:t>
      </w:r>
      <w:r>
        <w:rPr>
          <w:rFonts w:asciiTheme="minorHAnsi" w:hAnsiTheme="minorHAnsi"/>
        </w:rPr>
        <w:t>El argumento teológico que arguye la Santa es el siguiente:</w:t>
      </w:r>
    </w:p>
    <w:p w:rsidR="00A8071E" w:rsidRDefault="00A8071E" w:rsidP="00A8071E">
      <w:pPr>
        <w:jc w:val="both"/>
        <w:rPr>
          <w:rFonts w:asciiTheme="minorHAnsi" w:hAnsiTheme="minorHAnsi"/>
        </w:rPr>
      </w:pPr>
    </w:p>
    <w:p w:rsidR="00A8071E" w:rsidRPr="007D720A" w:rsidRDefault="00A8071E" w:rsidP="00A8071E">
      <w:pPr>
        <w:ind w:left="1418" w:right="849"/>
        <w:jc w:val="both"/>
        <w:rPr>
          <w:rFonts w:asciiTheme="minorHAnsi" w:hAnsiTheme="minorHAnsi"/>
          <w:sz w:val="20"/>
          <w:szCs w:val="20"/>
        </w:rPr>
      </w:pPr>
      <w:r w:rsidRPr="007D720A">
        <w:rPr>
          <w:rFonts w:asciiTheme="minorHAnsi" w:hAnsiTheme="minorHAnsi"/>
          <w:i/>
          <w:sz w:val="20"/>
          <w:szCs w:val="20"/>
        </w:rPr>
        <w:t>“Ni aborrecisteis, Señor de mi alma, cuando andabais por el mundo, las mujeres, antes las favorecisteis siempre con mucha piedad y hallasteis en ellas tanto amor y más fe que en los hombres, pues estaba vuestra sacratísima Madre, en cuyos méritos merecemos.”</w:t>
      </w:r>
      <w:r>
        <w:rPr>
          <w:rFonts w:asciiTheme="minorHAnsi" w:hAnsiTheme="minorHAnsi"/>
          <w:sz w:val="20"/>
          <w:szCs w:val="20"/>
        </w:rPr>
        <w:t xml:space="preserve"> (Ib.).</w:t>
      </w:r>
    </w:p>
    <w:p w:rsidR="00A8071E" w:rsidRDefault="00A8071E" w:rsidP="00A8071E">
      <w:pPr>
        <w:jc w:val="both"/>
        <w:rPr>
          <w:rFonts w:asciiTheme="minorHAnsi" w:hAnsiTheme="minorHAnsi"/>
        </w:rPr>
      </w:pPr>
    </w:p>
    <w:p w:rsidR="00A8071E" w:rsidRDefault="00A8071E" w:rsidP="00A8071E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ab/>
        <w:t>Estos textos</w:t>
      </w:r>
      <w:r w:rsidRPr="00502682">
        <w:rPr>
          <w:rFonts w:asciiTheme="minorHAnsi" w:hAnsiTheme="minorHAnsi"/>
        </w:rPr>
        <w:t xml:space="preserve"> fu</w:t>
      </w:r>
      <w:r>
        <w:rPr>
          <w:rFonts w:asciiTheme="minorHAnsi" w:hAnsiTheme="minorHAnsi"/>
        </w:rPr>
        <w:t>eron</w:t>
      </w:r>
      <w:r w:rsidRPr="00502682">
        <w:rPr>
          <w:rFonts w:asciiTheme="minorHAnsi" w:hAnsiTheme="minorHAnsi"/>
        </w:rPr>
        <w:t xml:space="preserve"> rápidamente censurado</w:t>
      </w:r>
      <w:r>
        <w:rPr>
          <w:rFonts w:asciiTheme="minorHAnsi" w:hAnsiTheme="minorHAnsi"/>
        </w:rPr>
        <w:t>s</w:t>
      </w:r>
      <w:r w:rsidRPr="00502682">
        <w:rPr>
          <w:rFonts w:asciiTheme="minorHAnsi" w:hAnsiTheme="minorHAnsi"/>
        </w:rPr>
        <w:t xml:space="preserve"> para la segunda redacción,</w:t>
      </w:r>
      <w:r>
        <w:rPr>
          <w:rFonts w:asciiTheme="minorHAnsi" w:hAnsiTheme="minorHAnsi"/>
        </w:rPr>
        <w:t xml:space="preserve"> de </w:t>
      </w:r>
      <w:r>
        <w:rPr>
          <w:rFonts w:asciiTheme="minorHAnsi" w:hAnsiTheme="minorHAnsi"/>
          <w:i/>
        </w:rPr>
        <w:t xml:space="preserve">Camino de Perfección, </w:t>
      </w:r>
      <w:r w:rsidRPr="00502682">
        <w:rPr>
          <w:rFonts w:asciiTheme="minorHAnsi" w:hAnsiTheme="minorHAnsi"/>
        </w:rPr>
        <w:t xml:space="preserve"> pero el grito teresiano</w:t>
      </w:r>
      <w:r>
        <w:rPr>
          <w:rFonts w:asciiTheme="minorHAnsi" w:hAnsiTheme="minorHAnsi"/>
        </w:rPr>
        <w:t xml:space="preserve"> ha quedado expresado clara</w:t>
      </w:r>
      <w:r w:rsidRPr="00502682">
        <w:rPr>
          <w:rFonts w:asciiTheme="minorHAnsi" w:hAnsiTheme="minorHAnsi"/>
        </w:rPr>
        <w:t xml:space="preserve"> y celosamente g</w:t>
      </w:r>
      <w:r>
        <w:rPr>
          <w:rFonts w:asciiTheme="minorHAnsi" w:hAnsiTheme="minorHAnsi"/>
        </w:rPr>
        <w:t xml:space="preserve">uardado en la primera redacción, pues al fin y al cabo: </w:t>
      </w:r>
      <w:r>
        <w:rPr>
          <w:rFonts w:asciiTheme="minorHAnsi" w:hAnsiTheme="minorHAnsi"/>
          <w:i/>
        </w:rPr>
        <w:t>“mujeres eran otras y han hecho cosas heroicas por amor de vos.”</w:t>
      </w:r>
      <w:r>
        <w:rPr>
          <w:rFonts w:asciiTheme="minorHAnsi" w:hAnsiTheme="minorHAnsi"/>
        </w:rPr>
        <w:t xml:space="preserve"> (V 21,5).</w:t>
      </w:r>
    </w:p>
    <w:p w:rsidR="003E305E" w:rsidRPr="007D720A" w:rsidRDefault="003E305E" w:rsidP="00A8071E">
      <w:pPr>
        <w:jc w:val="both"/>
        <w:rPr>
          <w:rFonts w:asciiTheme="minorHAnsi" w:hAnsiTheme="minorHAnsi"/>
        </w:rPr>
      </w:pPr>
    </w:p>
    <w:p w:rsidR="00A8071E" w:rsidRDefault="00A8071E" w:rsidP="00A8071E">
      <w:pPr>
        <w:jc w:val="both"/>
        <w:rPr>
          <w:rFonts w:asciiTheme="minorHAnsi" w:hAnsiTheme="minorHAnsi"/>
        </w:rPr>
      </w:pPr>
      <w:r w:rsidRPr="00502682">
        <w:rPr>
          <w:rFonts w:asciiTheme="minorHAnsi" w:hAnsiTheme="minorHAnsi"/>
        </w:rPr>
        <w:tab/>
      </w:r>
      <w:r w:rsidR="00AE2F63">
        <w:rPr>
          <w:rFonts w:asciiTheme="minorHAnsi" w:hAnsiTheme="minorHAnsi"/>
        </w:rPr>
        <w:t>Según la santa abulense –si b</w:t>
      </w:r>
      <w:r>
        <w:rPr>
          <w:rFonts w:asciiTheme="minorHAnsi" w:hAnsiTheme="minorHAnsi"/>
        </w:rPr>
        <w:t>ien es cierto que la naturaleza femenina se puede prestar en algunas ocasiones para desvíos espirituales</w:t>
      </w:r>
      <w:r w:rsidR="003822F4">
        <w:rPr>
          <w:rFonts w:asciiTheme="minorHAnsi" w:hAnsiTheme="minorHAnsi"/>
        </w:rPr>
        <w:t>:</w:t>
      </w:r>
      <w:r w:rsidR="00AE2F63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i/>
        </w:rPr>
        <w:t xml:space="preserve">“téngase aviso que la flaqueza natural es muy flaca, en especial en las mujeres, y en este camino de oración se muestra más.”  </w:t>
      </w:r>
      <w:r>
        <w:rPr>
          <w:rFonts w:asciiTheme="minorHAnsi" w:hAnsiTheme="minorHAnsi"/>
        </w:rPr>
        <w:t xml:space="preserve"> (F 8,6; Cfr. F 4,2; 4M 3,11; 6M 4,9)</w:t>
      </w:r>
      <w:r w:rsidR="00AE2F63">
        <w:rPr>
          <w:rFonts w:asciiTheme="minorHAnsi" w:hAnsiTheme="minorHAnsi"/>
        </w:rPr>
        <w:t>-</w:t>
      </w:r>
      <w:r>
        <w:rPr>
          <w:rFonts w:asciiTheme="minorHAnsi" w:hAnsiTheme="minorHAnsi"/>
        </w:rPr>
        <w:t xml:space="preserve"> también e</w:t>
      </w:r>
      <w:r w:rsidRPr="00502682">
        <w:rPr>
          <w:rFonts w:asciiTheme="minorHAnsi" w:hAnsiTheme="minorHAnsi"/>
        </w:rPr>
        <w:t>s el mismo Espíritu de Dios el que va haciendo que las mujeres se conviertan en maestras de la vida interior,</w:t>
      </w:r>
      <w:r>
        <w:rPr>
          <w:rFonts w:asciiTheme="minorHAnsi" w:hAnsiTheme="minorHAnsi"/>
        </w:rPr>
        <w:t xml:space="preserve"> y esto</w:t>
      </w:r>
      <w:r w:rsidRPr="00502682">
        <w:rPr>
          <w:rFonts w:asciiTheme="minorHAnsi" w:hAnsiTheme="minorHAnsi"/>
        </w:rPr>
        <w:t xml:space="preserve"> a merced de sus vivencias íntimas</w:t>
      </w:r>
      <w:r>
        <w:rPr>
          <w:rFonts w:asciiTheme="minorHAnsi" w:hAnsiTheme="minorHAnsi"/>
        </w:rPr>
        <w:t xml:space="preserve"> con el Señor</w:t>
      </w:r>
      <w:r w:rsidRPr="00502682">
        <w:rPr>
          <w:rFonts w:asciiTheme="minorHAnsi" w:hAnsiTheme="minorHAnsi"/>
        </w:rPr>
        <w:t xml:space="preserve">. </w:t>
      </w:r>
      <w:r>
        <w:rPr>
          <w:rFonts w:asciiTheme="minorHAnsi" w:hAnsiTheme="minorHAnsi"/>
        </w:rPr>
        <w:t>De igual manera, está segura nuestra mística madre  de otro dato y es el que</w:t>
      </w:r>
      <w:r w:rsidRPr="00502682">
        <w:rPr>
          <w:rFonts w:asciiTheme="minorHAnsi" w:hAnsiTheme="minorHAnsi"/>
        </w:rPr>
        <w:t xml:space="preserve"> las mujeres avanzan más fácilmente en la vida del Espíritu: </w:t>
      </w:r>
    </w:p>
    <w:p w:rsidR="00A8071E" w:rsidRPr="00502682" w:rsidRDefault="00A8071E" w:rsidP="00A8071E">
      <w:pPr>
        <w:jc w:val="both"/>
        <w:rPr>
          <w:rFonts w:asciiTheme="minorHAnsi" w:hAnsiTheme="minorHAnsi"/>
        </w:rPr>
      </w:pPr>
    </w:p>
    <w:p w:rsidR="00A8071E" w:rsidRPr="00973B8C" w:rsidRDefault="00A8071E" w:rsidP="00A8071E">
      <w:pPr>
        <w:ind w:left="1418" w:right="849"/>
        <w:jc w:val="both"/>
        <w:rPr>
          <w:rFonts w:asciiTheme="minorHAnsi" w:hAnsiTheme="minorHAnsi"/>
          <w:sz w:val="20"/>
          <w:szCs w:val="20"/>
        </w:rPr>
      </w:pPr>
      <w:r w:rsidRPr="00502682">
        <w:rPr>
          <w:rFonts w:asciiTheme="minorHAnsi" w:hAnsiTheme="minorHAnsi"/>
          <w:i/>
          <w:sz w:val="20"/>
          <w:szCs w:val="20"/>
        </w:rPr>
        <w:t>“y hay muchas más (mujeres) que hombres a quien el Señor hace estas mercedes, y esto oí al santo fray Pedro de Alcántara (y también lo he visto yo), que decía aprovechaban mucho más en este camino que hombres, y daba de ello excelentes razones, que no hay para qué las decir aquí, todas a favor de las mujeres.”</w:t>
      </w:r>
      <w:r w:rsidRPr="00502682">
        <w:rPr>
          <w:rFonts w:asciiTheme="minorHAnsi" w:hAnsiTheme="minorHAnsi"/>
          <w:sz w:val="20"/>
          <w:szCs w:val="20"/>
        </w:rPr>
        <w:t xml:space="preserve"> (V 40,8)</w:t>
      </w:r>
      <w:r>
        <w:rPr>
          <w:rFonts w:asciiTheme="minorHAnsi" w:hAnsiTheme="minorHAnsi"/>
          <w:sz w:val="20"/>
          <w:szCs w:val="20"/>
        </w:rPr>
        <w:t>.</w:t>
      </w:r>
    </w:p>
    <w:p w:rsidR="00A8071E" w:rsidRDefault="00A8071E" w:rsidP="00A8071E">
      <w:pPr>
        <w:jc w:val="both"/>
      </w:pPr>
    </w:p>
    <w:p w:rsidR="00A8071E" w:rsidRDefault="00A8071E" w:rsidP="00A8071E">
      <w:pPr>
        <w:jc w:val="both"/>
        <w:rPr>
          <w:rFonts w:asciiTheme="minorHAnsi" w:hAnsiTheme="minorHAnsi"/>
        </w:rPr>
      </w:pPr>
      <w:r>
        <w:tab/>
      </w:r>
      <w:r>
        <w:rPr>
          <w:rFonts w:asciiTheme="minorHAnsi" w:hAnsiTheme="minorHAnsi"/>
        </w:rPr>
        <w:t>Sería un trabajo arduo</w:t>
      </w:r>
      <w:r w:rsidRPr="00973B8C">
        <w:rPr>
          <w:rFonts w:asciiTheme="minorHAnsi" w:hAnsiTheme="minorHAnsi"/>
        </w:rPr>
        <w:t xml:space="preserve"> abordar aquí </w:t>
      </w:r>
      <w:r>
        <w:rPr>
          <w:rFonts w:asciiTheme="minorHAnsi" w:hAnsiTheme="minorHAnsi"/>
        </w:rPr>
        <w:t xml:space="preserve"> todos los aportes teresianos a favor de  la mujer, pues su pluma delineó</w:t>
      </w:r>
      <w:r w:rsidRPr="00973B8C">
        <w:rPr>
          <w:rFonts w:asciiTheme="minorHAnsi" w:hAnsiTheme="minorHAnsi"/>
        </w:rPr>
        <w:t xml:space="preserve"> esta temática desde distintos ángulos, ejemplos: la estima exagerada de tener hijos (F 20,3)</w:t>
      </w:r>
      <w:r w:rsidR="00AE2F63">
        <w:rPr>
          <w:rFonts w:asciiTheme="minorHAnsi" w:hAnsiTheme="minorHAnsi"/>
        </w:rPr>
        <w:t>;</w:t>
      </w:r>
      <w:r w:rsidRPr="00973B8C">
        <w:rPr>
          <w:rFonts w:asciiTheme="minorHAnsi" w:hAnsiTheme="minorHAnsi"/>
        </w:rPr>
        <w:t xml:space="preserve"> mientras se lamenta de su situación de mujer</w:t>
      </w:r>
      <w:r w:rsidR="00AE2F63">
        <w:rPr>
          <w:rFonts w:asciiTheme="minorHAnsi" w:hAnsiTheme="minorHAnsi"/>
        </w:rPr>
        <w:t>,</w:t>
      </w:r>
      <w:r w:rsidRPr="00973B8C">
        <w:rPr>
          <w:rFonts w:asciiTheme="minorHAnsi" w:hAnsiTheme="minorHAnsi"/>
        </w:rPr>
        <w:t xml:space="preserve"> enseña a </w:t>
      </w:r>
      <w:r w:rsidRPr="00973B8C">
        <w:rPr>
          <w:rFonts w:asciiTheme="minorHAnsi" w:hAnsiTheme="minorHAnsi"/>
        </w:rPr>
        <w:lastRenderedPageBreak/>
        <w:t>los “hombres de tomo, de letras, de</w:t>
      </w:r>
      <w:r w:rsidR="00AE2F63">
        <w:rPr>
          <w:rFonts w:asciiTheme="minorHAnsi" w:hAnsiTheme="minorHAnsi"/>
        </w:rPr>
        <w:t xml:space="preserve"> entendimiento” (V 11,14; 40,8);</w:t>
      </w:r>
      <w:r w:rsidRPr="00973B8C">
        <w:rPr>
          <w:rFonts w:asciiTheme="minorHAnsi" w:hAnsiTheme="minorHAnsi"/>
        </w:rPr>
        <w:t xml:space="preserve"> sabe también que hay hombres ignorantes (F 5,2), etc.</w:t>
      </w:r>
      <w:r>
        <w:rPr>
          <w:rFonts w:asciiTheme="minorHAnsi" w:hAnsiTheme="minorHAnsi"/>
        </w:rPr>
        <w:t xml:space="preserve"> Por tanto, nuestro intento es tan solo referir aquí cómo la experiencia de Dios es dignificante para la condición femenina; “</w:t>
      </w:r>
      <w:r w:rsidR="00AE2F63">
        <w:rPr>
          <w:rFonts w:asciiTheme="minorHAnsi" w:hAnsiTheme="minorHAnsi"/>
        </w:rPr>
        <w:t>cuanto</w:t>
      </w:r>
      <w:r>
        <w:rPr>
          <w:rFonts w:asciiTheme="minorHAnsi" w:hAnsiTheme="minorHAnsi"/>
        </w:rPr>
        <w:t xml:space="preserve"> más orantes</w:t>
      </w:r>
      <w:r w:rsidR="00AE2F63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más defensores de la dignidad femenina”, esa  podría ser una máxima teresiana.</w:t>
      </w:r>
    </w:p>
    <w:p w:rsidR="003E305E" w:rsidRPr="00973B8C" w:rsidRDefault="003E305E" w:rsidP="00A8071E">
      <w:pPr>
        <w:jc w:val="both"/>
        <w:rPr>
          <w:rFonts w:asciiTheme="minorHAnsi" w:hAnsiTheme="minorHAnsi"/>
        </w:rPr>
      </w:pPr>
    </w:p>
    <w:p w:rsidR="00A8071E" w:rsidRDefault="00A8071E" w:rsidP="00A8071E">
      <w:pPr>
        <w:jc w:val="both"/>
        <w:rPr>
          <w:rFonts w:asciiTheme="minorHAnsi" w:hAnsiTheme="minorHAnsi"/>
        </w:rPr>
      </w:pPr>
      <w:r w:rsidRPr="00973B8C">
        <w:rPr>
          <w:rFonts w:asciiTheme="minorHAnsi" w:hAnsiTheme="minorHAnsi"/>
        </w:rPr>
        <w:tab/>
      </w:r>
      <w:r>
        <w:rPr>
          <w:rFonts w:asciiTheme="minorHAnsi" w:hAnsiTheme="minorHAnsi"/>
        </w:rPr>
        <w:t>Finalmente</w:t>
      </w:r>
      <w:r w:rsidR="00AE2F63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recordemos que </w:t>
      </w:r>
      <w:r w:rsidRPr="00973B8C">
        <w:rPr>
          <w:rFonts w:asciiTheme="minorHAnsi" w:hAnsiTheme="minorHAnsi"/>
        </w:rPr>
        <w:t xml:space="preserve">el Papa Pío XI negó la concesión del </w:t>
      </w:r>
      <w:r w:rsidRPr="00973B8C">
        <w:rPr>
          <w:rFonts w:asciiTheme="minorHAnsi" w:hAnsiTheme="minorHAnsi"/>
          <w:i/>
          <w:iCs/>
        </w:rPr>
        <w:t xml:space="preserve">Doctorado </w:t>
      </w:r>
      <w:r w:rsidRPr="00973B8C">
        <w:rPr>
          <w:rFonts w:asciiTheme="minorHAnsi" w:hAnsiTheme="minorHAnsi"/>
        </w:rPr>
        <w:t xml:space="preserve"> de Teresa de Jesús en </w:t>
      </w:r>
      <w:r w:rsidRPr="00973B8C">
        <w:rPr>
          <w:rFonts w:asciiTheme="minorHAnsi" w:hAnsiTheme="minorHAnsi"/>
          <w:i/>
          <w:iCs/>
        </w:rPr>
        <w:t xml:space="preserve">razón de sexo. </w:t>
      </w:r>
      <w:r w:rsidRPr="00973B8C">
        <w:rPr>
          <w:rFonts w:asciiTheme="minorHAnsi" w:hAnsiTheme="minorHAnsi"/>
        </w:rPr>
        <w:t>Sin embargo,  Pablo VI, más en sintonía  con los tiempos modernos la declara doctora</w:t>
      </w:r>
      <w:r w:rsidRPr="00973B8C">
        <w:rPr>
          <w:rStyle w:val="Refdenotaalpie"/>
          <w:rFonts w:asciiTheme="minorHAnsi" w:hAnsiTheme="minorHAnsi"/>
        </w:rPr>
        <w:footnoteReference w:id="3"/>
      </w:r>
      <w:r>
        <w:rPr>
          <w:rFonts w:asciiTheme="minorHAnsi" w:hAnsiTheme="minorHAnsi"/>
        </w:rPr>
        <w:t>, lo cual se convierte en un  hito significativo, con vientos más favorables para la condición femenina en la iglesia; es al menos un comienzo prometedor.</w:t>
      </w:r>
    </w:p>
    <w:bookmarkEnd w:id="0"/>
    <w:p w:rsidR="00F82501" w:rsidRDefault="00F82501"/>
    <w:sectPr w:rsidR="00F82501" w:rsidSect="003E305E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0CB2" w:rsidRDefault="00670CB2" w:rsidP="00A8071E">
      <w:r>
        <w:separator/>
      </w:r>
    </w:p>
  </w:endnote>
  <w:endnote w:type="continuationSeparator" w:id="0">
    <w:p w:rsidR="00670CB2" w:rsidRDefault="00670CB2" w:rsidP="00A80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 w:cstheme="minorHAnsi"/>
      </w:rPr>
      <w:id w:val="-94937853"/>
      <w:docPartObj>
        <w:docPartGallery w:val="Page Numbers (Bottom of Page)"/>
        <w:docPartUnique/>
      </w:docPartObj>
    </w:sdtPr>
    <w:sdtEndPr/>
    <w:sdtContent>
      <w:p w:rsidR="003E305E" w:rsidRPr="003E305E" w:rsidRDefault="003E305E">
        <w:pPr>
          <w:pStyle w:val="Piedepgina"/>
          <w:jc w:val="center"/>
          <w:rPr>
            <w:rFonts w:asciiTheme="minorHAnsi" w:hAnsiTheme="minorHAnsi" w:cstheme="minorHAnsi"/>
          </w:rPr>
        </w:pPr>
        <w:r w:rsidRPr="003E305E">
          <w:rPr>
            <w:rFonts w:asciiTheme="minorHAnsi" w:hAnsiTheme="minorHAnsi" w:cstheme="minorHAnsi"/>
          </w:rPr>
          <w:fldChar w:fldCharType="begin"/>
        </w:r>
        <w:r w:rsidRPr="003E305E">
          <w:rPr>
            <w:rFonts w:asciiTheme="minorHAnsi" w:hAnsiTheme="minorHAnsi" w:cstheme="minorHAnsi"/>
          </w:rPr>
          <w:instrText>PAGE   \* MERGEFORMAT</w:instrText>
        </w:r>
        <w:r w:rsidRPr="003E305E">
          <w:rPr>
            <w:rFonts w:asciiTheme="minorHAnsi" w:hAnsiTheme="minorHAnsi" w:cstheme="minorHAnsi"/>
          </w:rPr>
          <w:fldChar w:fldCharType="separate"/>
        </w:r>
        <w:r w:rsidR="00B306D6" w:rsidRPr="00B306D6">
          <w:rPr>
            <w:rFonts w:asciiTheme="minorHAnsi" w:hAnsiTheme="minorHAnsi" w:cstheme="minorHAnsi"/>
            <w:noProof/>
            <w:lang w:val="es-ES"/>
          </w:rPr>
          <w:t>3</w:t>
        </w:r>
        <w:r w:rsidRPr="003E305E">
          <w:rPr>
            <w:rFonts w:asciiTheme="minorHAnsi" w:hAnsiTheme="minorHAnsi" w:cstheme="minorHAnsi"/>
          </w:rPr>
          <w:fldChar w:fldCharType="end"/>
        </w:r>
      </w:p>
    </w:sdtContent>
  </w:sdt>
  <w:p w:rsidR="003E305E" w:rsidRDefault="003E30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0CB2" w:rsidRDefault="00670CB2" w:rsidP="00A8071E">
      <w:r>
        <w:separator/>
      </w:r>
    </w:p>
  </w:footnote>
  <w:footnote w:type="continuationSeparator" w:id="0">
    <w:p w:rsidR="00670CB2" w:rsidRDefault="00670CB2" w:rsidP="00A8071E">
      <w:r>
        <w:continuationSeparator/>
      </w:r>
    </w:p>
  </w:footnote>
  <w:footnote w:id="1">
    <w:p w:rsidR="00A8071E" w:rsidRPr="009F4999" w:rsidRDefault="00A8071E" w:rsidP="00A8071E">
      <w:pPr>
        <w:pStyle w:val="Textonotapie"/>
        <w:rPr>
          <w:rFonts w:asciiTheme="minorHAnsi" w:hAnsiTheme="minorHAnsi"/>
        </w:rPr>
      </w:pPr>
      <w:r w:rsidRPr="009F4999">
        <w:rPr>
          <w:rStyle w:val="Refdenotaalpie"/>
          <w:rFonts w:asciiTheme="minorHAnsi" w:hAnsiTheme="minorHAnsi"/>
        </w:rPr>
        <w:footnoteRef/>
      </w:r>
      <w:r w:rsidRPr="009F4999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Citado en: J.  </w:t>
      </w:r>
      <w:r>
        <w:rPr>
          <w:rFonts w:asciiTheme="minorHAnsi" w:hAnsiTheme="minorHAnsi"/>
          <w:smallCaps/>
        </w:rPr>
        <w:t>Barrena Sá</w:t>
      </w:r>
      <w:r w:rsidRPr="00F17548">
        <w:rPr>
          <w:rFonts w:asciiTheme="minorHAnsi" w:hAnsiTheme="minorHAnsi"/>
          <w:smallCaps/>
        </w:rPr>
        <w:t>nchez</w:t>
      </w:r>
      <w:r w:rsidRPr="009F4999">
        <w:rPr>
          <w:rFonts w:asciiTheme="minorHAnsi" w:hAnsiTheme="minorHAnsi"/>
        </w:rPr>
        <w:t xml:space="preserve">, Jesús, </w:t>
      </w:r>
      <w:r w:rsidRPr="009F4999">
        <w:rPr>
          <w:rFonts w:asciiTheme="minorHAnsi" w:hAnsiTheme="minorHAnsi"/>
          <w:i/>
          <w:iCs/>
        </w:rPr>
        <w:t xml:space="preserve">Teresa de Jesús una mujer educadora, </w:t>
      </w:r>
      <w:r w:rsidRPr="009F4999">
        <w:rPr>
          <w:rFonts w:asciiTheme="minorHAnsi" w:hAnsiTheme="minorHAnsi"/>
        </w:rPr>
        <w:t>Diputación Provincial</w:t>
      </w:r>
      <w:r>
        <w:rPr>
          <w:rFonts w:asciiTheme="minorHAnsi" w:hAnsiTheme="minorHAnsi"/>
        </w:rPr>
        <w:t xml:space="preserve"> de Ávila, Ávila  2000,  31.</w:t>
      </w:r>
    </w:p>
  </w:footnote>
  <w:footnote w:id="2">
    <w:p w:rsidR="00A8071E" w:rsidRPr="006D7B10" w:rsidRDefault="00A8071E" w:rsidP="00A8071E">
      <w:pPr>
        <w:pStyle w:val="Textonotapie"/>
        <w:rPr>
          <w:rFonts w:asciiTheme="minorHAnsi" w:hAnsiTheme="minorHAnsi"/>
          <w:lang w:val="es-ES"/>
        </w:rPr>
      </w:pPr>
      <w:r w:rsidRPr="006D7B10">
        <w:rPr>
          <w:rStyle w:val="Refdenotaalpie"/>
          <w:rFonts w:asciiTheme="minorHAnsi" w:hAnsiTheme="minorHAnsi"/>
        </w:rPr>
        <w:footnoteRef/>
      </w:r>
      <w:r w:rsidRPr="006D7B10">
        <w:rPr>
          <w:rFonts w:asciiTheme="minorHAnsi" w:hAnsiTheme="minorHAnsi"/>
        </w:rPr>
        <w:t xml:space="preserve"> </w:t>
      </w:r>
      <w:r w:rsidRPr="006D7B10">
        <w:rPr>
          <w:rFonts w:asciiTheme="minorHAnsi" w:hAnsiTheme="minorHAnsi"/>
          <w:lang w:val="es-ES"/>
        </w:rPr>
        <w:t>Texto muy ce</w:t>
      </w:r>
      <w:r>
        <w:rPr>
          <w:rFonts w:asciiTheme="minorHAnsi" w:hAnsiTheme="minorHAnsi"/>
          <w:lang w:val="es-ES"/>
        </w:rPr>
        <w:t xml:space="preserve">nsurado en la primera redacción;  en la segunda </w:t>
      </w:r>
      <w:r w:rsidRPr="006D7B10">
        <w:rPr>
          <w:rFonts w:asciiTheme="minorHAnsi" w:hAnsiTheme="minorHAnsi"/>
          <w:lang w:val="es-ES"/>
        </w:rPr>
        <w:t xml:space="preserve"> equivale a CV 3,7</w:t>
      </w:r>
      <w:r>
        <w:rPr>
          <w:rFonts w:asciiTheme="minorHAnsi" w:hAnsiTheme="minorHAnsi"/>
          <w:lang w:val="es-ES"/>
        </w:rPr>
        <w:t>.</w:t>
      </w:r>
    </w:p>
  </w:footnote>
  <w:footnote w:id="3">
    <w:p w:rsidR="00A8071E" w:rsidRDefault="00A8071E" w:rsidP="00A8071E">
      <w:pPr>
        <w:pStyle w:val="Textonotapie"/>
      </w:pPr>
      <w:r w:rsidRPr="00093458">
        <w:rPr>
          <w:rStyle w:val="Refdenotaalpie"/>
          <w:rFonts w:asciiTheme="minorHAnsi" w:hAnsiTheme="minorHAnsi"/>
        </w:rPr>
        <w:footnoteRef/>
      </w:r>
      <w:r>
        <w:t xml:space="preserve"> </w:t>
      </w:r>
      <w:r>
        <w:rPr>
          <w:rFonts w:asciiTheme="minorHAnsi" w:hAnsiTheme="minorHAnsi"/>
        </w:rPr>
        <w:t>Cfr. Ib.,</w:t>
      </w:r>
      <w:r w:rsidRPr="00093458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n.</w:t>
      </w:r>
      <w:r w:rsidRPr="00093458">
        <w:rPr>
          <w:rFonts w:asciiTheme="minorHAnsi" w:hAnsiTheme="minorHAnsi"/>
        </w:rPr>
        <w:t>34</w:t>
      </w:r>
      <w:r>
        <w:rPr>
          <w:rFonts w:asciiTheme="minorHAnsi" w:hAnsiTheme="minorHAnsi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05E" w:rsidRPr="003E305E" w:rsidRDefault="003E305E" w:rsidP="003E305E">
    <w:pPr>
      <w:pStyle w:val="Encabezado"/>
      <w:jc w:val="center"/>
      <w:rPr>
        <w:rFonts w:asciiTheme="minorHAnsi" w:hAnsiTheme="minorHAnsi" w:cstheme="minorHAnsi"/>
        <w:sz w:val="20"/>
        <w:szCs w:val="20"/>
      </w:rPr>
    </w:pPr>
    <w:r w:rsidRPr="003E305E">
      <w:rPr>
        <w:rFonts w:asciiTheme="minorHAnsi" w:hAnsiTheme="minorHAnsi" w:cstheme="minorHAnsi"/>
        <w:sz w:val="20"/>
        <w:szCs w:val="20"/>
      </w:rPr>
      <w:t>Teresa mujer</w:t>
    </w:r>
  </w:p>
  <w:p w:rsidR="003E305E" w:rsidRDefault="003E305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1E"/>
    <w:rsid w:val="0003676A"/>
    <w:rsid w:val="002843EF"/>
    <w:rsid w:val="003822F4"/>
    <w:rsid w:val="003E305E"/>
    <w:rsid w:val="00616DFB"/>
    <w:rsid w:val="00670CB2"/>
    <w:rsid w:val="00A8071E"/>
    <w:rsid w:val="00AE2F63"/>
    <w:rsid w:val="00B306D6"/>
    <w:rsid w:val="00E453D3"/>
    <w:rsid w:val="00F8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8B527A-AD2F-4440-9D8D-D34E62958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07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SV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semiHidden/>
    <w:unhideWhenUsed/>
    <w:rsid w:val="00A8071E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A8071E"/>
    <w:rPr>
      <w:rFonts w:ascii="Times New Roman" w:eastAsia="Times New Roman" w:hAnsi="Times New Roman" w:cs="Times New Roman"/>
      <w:sz w:val="20"/>
      <w:szCs w:val="20"/>
      <w:lang w:val="es-SV" w:eastAsia="es-ES"/>
    </w:rPr>
  </w:style>
  <w:style w:type="paragraph" w:styleId="Textoindependiente2">
    <w:name w:val="Body Text 2"/>
    <w:basedOn w:val="Normal"/>
    <w:link w:val="Textoindependiente2Car"/>
    <w:unhideWhenUsed/>
    <w:rsid w:val="00A8071E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A8071E"/>
    <w:rPr>
      <w:rFonts w:ascii="Times New Roman" w:eastAsia="Times New Roman" w:hAnsi="Times New Roman" w:cs="Times New Roman"/>
      <w:sz w:val="24"/>
      <w:szCs w:val="24"/>
      <w:lang w:val="es-SV" w:eastAsia="es-ES"/>
    </w:rPr>
  </w:style>
  <w:style w:type="character" w:styleId="Refdenotaalpie">
    <w:name w:val="footnote reference"/>
    <w:basedOn w:val="Fuentedeprrafopredeter"/>
    <w:semiHidden/>
    <w:unhideWhenUsed/>
    <w:rsid w:val="00A8071E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3E305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305E"/>
    <w:rPr>
      <w:rFonts w:ascii="Times New Roman" w:eastAsia="Times New Roman" w:hAnsi="Times New Roman" w:cs="Times New Roman"/>
      <w:sz w:val="24"/>
      <w:szCs w:val="24"/>
      <w:lang w:val="es-SV" w:eastAsia="es-ES"/>
    </w:rPr>
  </w:style>
  <w:style w:type="paragraph" w:styleId="Piedepgina">
    <w:name w:val="footer"/>
    <w:basedOn w:val="Normal"/>
    <w:link w:val="PiedepginaCar"/>
    <w:uiPriority w:val="99"/>
    <w:unhideWhenUsed/>
    <w:rsid w:val="003E305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305E"/>
    <w:rPr>
      <w:rFonts w:ascii="Times New Roman" w:eastAsia="Times New Roman" w:hAnsi="Times New Roman" w:cs="Times New Roman"/>
      <w:sz w:val="24"/>
      <w:szCs w:val="24"/>
      <w:lang w:val="es-SV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E305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305E"/>
    <w:rPr>
      <w:rFonts w:ascii="Tahoma" w:eastAsia="Times New Roman" w:hAnsi="Tahoma" w:cs="Tahoma"/>
      <w:sz w:val="16"/>
      <w:szCs w:val="16"/>
      <w:lang w:val="es-SV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A1B78-AB68-454C-BCE6-199F47AB2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973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P.OSWALDO</dc:creator>
  <cp:keywords/>
  <dc:description/>
  <cp:lastModifiedBy>Maria Jose Pérez González</cp:lastModifiedBy>
  <cp:revision>2</cp:revision>
  <dcterms:created xsi:type="dcterms:W3CDTF">2015-03-08T05:58:00Z</dcterms:created>
  <dcterms:modified xsi:type="dcterms:W3CDTF">2015-03-08T05:58:00Z</dcterms:modified>
</cp:coreProperties>
</file>